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Проверка и оценивание итогового сочинения (изложения) комиссией образовательной организации должны завершиться не позднее чем через семь календарных дней с даты проведения итогового сочинения (изложения).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85547F">
        <w:rPr>
          <w:rFonts w:ascii="Liberation Serif" w:hAnsi="Liberation Serif" w:cs="Liberation Serif"/>
          <w:sz w:val="28"/>
          <w:szCs w:val="28"/>
        </w:rPr>
        <w:t>Рособрнадзором</w:t>
      </w:r>
      <w:proofErr w:type="spellEnd"/>
      <w:r w:rsidRPr="0085547F">
        <w:rPr>
          <w:rFonts w:ascii="Liberation Serif" w:hAnsi="Liberation Serif" w:cs="Liberation Serif"/>
          <w:sz w:val="28"/>
          <w:szCs w:val="28"/>
        </w:rPr>
        <w:t>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>) только 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, программам </w:t>
      </w:r>
      <w:proofErr w:type="spellStart"/>
      <w:r w:rsidR="00FA1A4E" w:rsidRPr="0085547F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="00FA1A4E" w:rsidRPr="0085547F">
        <w:rPr>
          <w:rFonts w:ascii="Liberation Serif" w:hAnsi="Liberation Serif" w:cs="Liberation Serif"/>
          <w:sz w:val="28"/>
          <w:szCs w:val="28"/>
        </w:rP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 бессрочно.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и программам </w:t>
      </w:r>
      <w:proofErr w:type="spellStart"/>
      <w:r w:rsidRPr="00283B04">
        <w:rPr>
          <w:rFonts w:ascii="Liberation Serif" w:hAnsi="Liberation Serif" w:cs="Liberation Serif"/>
          <w:sz w:val="28"/>
          <w:szCs w:val="28"/>
        </w:rPr>
        <w:t>специалитета</w:t>
      </w:r>
      <w:proofErr w:type="spellEnd"/>
      <w:r w:rsidRPr="00283B04">
        <w:rPr>
          <w:rFonts w:ascii="Liberation Serif" w:hAnsi="Liberation Serif" w:cs="Liberation Serif"/>
          <w:sz w:val="28"/>
          <w:szCs w:val="28"/>
        </w:rPr>
        <w:t xml:space="preserve"> действительно в течение четырех лет, следующих за годом написания такого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F3DD2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283B04" w:rsidRPr="0085547F" w:rsidRDefault="00283B04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283B04" w:rsidRPr="0085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283B04"/>
    <w:rsid w:val="007F3DD2"/>
    <w:rsid w:val="0085547F"/>
    <w:rsid w:val="00DB62D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4</cp:revision>
  <dcterms:created xsi:type="dcterms:W3CDTF">2019-10-25T07:50:00Z</dcterms:created>
  <dcterms:modified xsi:type="dcterms:W3CDTF">2019-10-25T08:10:00Z</dcterms:modified>
</cp:coreProperties>
</file>